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CELABOR is a </w:t>
      </w:r>
      <w:r w:rsidRPr="000D525A">
        <w:rPr>
          <w:b/>
          <w:lang w:val="en-US"/>
        </w:rPr>
        <w:t>private laboratory and research center based in the Walloon region of Belgium</w:t>
      </w:r>
      <w:r w:rsidRPr="007A5752">
        <w:rPr>
          <w:lang w:val="en-US"/>
        </w:rPr>
        <w:t xml:space="preserve">, employing about </w:t>
      </w:r>
      <w:r w:rsidR="009944CE">
        <w:rPr>
          <w:lang w:val="en-US"/>
        </w:rPr>
        <w:t>50</w:t>
      </w:r>
      <w:r w:rsidRPr="007A5752">
        <w:rPr>
          <w:lang w:val="en-US"/>
        </w:rPr>
        <w:t xml:space="preserve"> people </w:t>
      </w:r>
      <w:r>
        <w:rPr>
          <w:lang w:val="en-US"/>
        </w:rPr>
        <w:t>with</w:t>
      </w:r>
      <w:r w:rsidRPr="007A5752">
        <w:rPr>
          <w:lang w:val="en-US"/>
        </w:rPr>
        <w:t xml:space="preserve"> various scientific and technical expertise.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>CELABOR incorporate</w:t>
      </w:r>
      <w:r>
        <w:rPr>
          <w:lang w:val="en-US"/>
        </w:rPr>
        <w:t>s</w:t>
      </w:r>
      <w:r w:rsidRPr="007A5752">
        <w:rPr>
          <w:lang w:val="en-US"/>
        </w:rPr>
        <w:t xml:space="preserve"> various </w:t>
      </w:r>
      <w:r w:rsidRPr="000D525A">
        <w:rPr>
          <w:b/>
          <w:lang w:val="en-US"/>
        </w:rPr>
        <w:t>resources in chemistry and processes</w:t>
      </w:r>
      <w:r w:rsidRPr="007A5752">
        <w:rPr>
          <w:lang w:val="en-US"/>
        </w:rPr>
        <w:t xml:space="preserve"> that target industrial sectors in food, packaging, environment and textile.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In connection with the activities of the </w:t>
      </w:r>
      <w:r w:rsidR="008C4145">
        <w:rPr>
          <w:lang w:val="en-US"/>
        </w:rPr>
        <w:t xml:space="preserve">Food </w:t>
      </w:r>
      <w:proofErr w:type="spellStart"/>
      <w:r w:rsidR="008C4145">
        <w:rPr>
          <w:lang w:val="en-US"/>
        </w:rPr>
        <w:t>Hightech</w:t>
      </w:r>
      <w:proofErr w:type="spellEnd"/>
      <w:r w:rsidR="008C4145">
        <w:rPr>
          <w:lang w:val="en-US"/>
        </w:rPr>
        <w:t xml:space="preserve"> Portal</w:t>
      </w:r>
      <w:r>
        <w:rPr>
          <w:lang w:val="en-US"/>
        </w:rPr>
        <w:t>,</w:t>
      </w:r>
      <w:r w:rsidRPr="007A5752">
        <w:rPr>
          <w:lang w:val="en-US"/>
        </w:rPr>
        <w:t xml:space="preserve"> CELABOR has two departments of interest: the </w:t>
      </w:r>
      <w:proofErr w:type="spellStart"/>
      <w:r w:rsidRPr="007A5752">
        <w:rPr>
          <w:lang w:val="en-US"/>
        </w:rPr>
        <w:t>Agri</w:t>
      </w:r>
      <w:proofErr w:type="spellEnd"/>
      <w:r w:rsidRPr="007A5752">
        <w:rPr>
          <w:lang w:val="en-US"/>
        </w:rPr>
        <w:t xml:space="preserve">-Nutrition and </w:t>
      </w:r>
      <w:proofErr w:type="spellStart"/>
      <w:r w:rsidRPr="007A5752">
        <w:rPr>
          <w:lang w:val="en-US"/>
        </w:rPr>
        <w:t>Agri</w:t>
      </w:r>
      <w:proofErr w:type="spellEnd"/>
      <w:r w:rsidRPr="007A5752">
        <w:rPr>
          <w:lang w:val="en-US"/>
        </w:rPr>
        <w:t>-Extraction departments.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The </w:t>
      </w:r>
      <w:r w:rsidRPr="00327CA0">
        <w:rPr>
          <w:b/>
          <w:highlight w:val="yellow"/>
          <w:lang w:val="en-US"/>
        </w:rPr>
        <w:t xml:space="preserve">expertise areas of </w:t>
      </w:r>
      <w:proofErr w:type="spellStart"/>
      <w:r w:rsidRPr="00327CA0">
        <w:rPr>
          <w:b/>
          <w:highlight w:val="yellow"/>
          <w:lang w:val="en-US"/>
        </w:rPr>
        <w:t>Agri</w:t>
      </w:r>
      <w:proofErr w:type="spellEnd"/>
      <w:r w:rsidRPr="00327CA0">
        <w:rPr>
          <w:b/>
          <w:highlight w:val="yellow"/>
          <w:lang w:val="en-US"/>
        </w:rPr>
        <w:t>-Nutrition department</w:t>
      </w:r>
      <w:r w:rsidRPr="007A5752">
        <w:rPr>
          <w:lang w:val="en-US"/>
        </w:rPr>
        <w:t xml:space="preserve"> are: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327CA0">
        <w:rPr>
          <w:lang w:val="en-US"/>
        </w:rPr>
        <w:t xml:space="preserve">The </w:t>
      </w:r>
      <w:r w:rsidRPr="009944CE">
        <w:rPr>
          <w:u w:val="single"/>
          <w:lang w:val="en-US"/>
        </w:rPr>
        <w:t>formulation</w:t>
      </w:r>
      <w:r w:rsidRPr="00327CA0">
        <w:rPr>
          <w:lang w:val="en-US"/>
        </w:rPr>
        <w:t xml:space="preserve"> of "health" products or with improved nutritional profile (claims);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327CA0">
        <w:rPr>
          <w:lang w:val="en-US"/>
        </w:rPr>
        <w:t xml:space="preserve">The study of </w:t>
      </w:r>
      <w:proofErr w:type="spellStart"/>
      <w:r w:rsidRPr="009944CE">
        <w:rPr>
          <w:u w:val="single"/>
          <w:lang w:val="en-US"/>
        </w:rPr>
        <w:t>physico</w:t>
      </w:r>
      <w:proofErr w:type="spellEnd"/>
      <w:r w:rsidRPr="009944CE">
        <w:rPr>
          <w:u w:val="single"/>
          <w:lang w:val="en-US"/>
        </w:rPr>
        <w:t>-chemical degradations</w:t>
      </w:r>
      <w:r w:rsidRPr="00327CA0">
        <w:rPr>
          <w:lang w:val="en-US"/>
        </w:rPr>
        <w:t xml:space="preserve"> of existing products (oxidative deterioration, off-flavors study, color and texture measurements, accelerated ageing tests);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327CA0">
        <w:rPr>
          <w:lang w:val="en-US"/>
        </w:rPr>
        <w:t xml:space="preserve">The extension of </w:t>
      </w:r>
      <w:r w:rsidRPr="009944CE">
        <w:rPr>
          <w:u w:val="single"/>
          <w:lang w:val="en-US"/>
        </w:rPr>
        <w:t>product shelf life</w:t>
      </w:r>
      <w:r w:rsidRPr="00327CA0">
        <w:rPr>
          <w:lang w:val="en-US"/>
        </w:rPr>
        <w:t xml:space="preserve"> ("clean label" trend and packaging solutions);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327CA0">
        <w:rPr>
          <w:lang w:val="en-US"/>
        </w:rPr>
        <w:t xml:space="preserve">The study of the </w:t>
      </w:r>
      <w:r w:rsidRPr="009944CE">
        <w:rPr>
          <w:u w:val="single"/>
          <w:lang w:val="en-US"/>
        </w:rPr>
        <w:t>properties of new raw materials</w:t>
      </w:r>
      <w:r w:rsidRPr="00327CA0">
        <w:rPr>
          <w:lang w:val="en-US"/>
        </w:rPr>
        <w:t>: functional, qualitative, nutritional,</w:t>
      </w:r>
      <w:r w:rsidR="009944CE">
        <w:rPr>
          <w:lang w:val="en-US"/>
        </w:rPr>
        <w:t xml:space="preserve"> </w:t>
      </w:r>
      <w:r w:rsidRPr="00327CA0">
        <w:rPr>
          <w:lang w:val="en-US"/>
        </w:rPr>
        <w:t>… ;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9944CE">
        <w:rPr>
          <w:u w:val="single"/>
          <w:lang w:val="en-US"/>
        </w:rPr>
        <w:t>Nutritional</w:t>
      </w:r>
      <w:r w:rsidRPr="00327CA0">
        <w:rPr>
          <w:lang w:val="en-US"/>
        </w:rPr>
        <w:t xml:space="preserve"> analysis, food additives evaluation, labeling advice;</w:t>
      </w:r>
    </w:p>
    <w:p w:rsidR="00327CA0" w:rsidRPr="00327CA0" w:rsidRDefault="00327CA0" w:rsidP="00327CA0">
      <w:pPr>
        <w:pStyle w:val="Paragraphedeliste"/>
        <w:numPr>
          <w:ilvl w:val="0"/>
          <w:numId w:val="10"/>
        </w:numPr>
        <w:jc w:val="both"/>
        <w:rPr>
          <w:lang w:val="en-US"/>
        </w:rPr>
      </w:pPr>
      <w:r w:rsidRPr="00327CA0">
        <w:rPr>
          <w:lang w:val="en-US"/>
        </w:rPr>
        <w:t xml:space="preserve">Analyses of </w:t>
      </w:r>
      <w:r w:rsidRPr="009944CE">
        <w:rPr>
          <w:u w:val="single"/>
          <w:lang w:val="en-US"/>
        </w:rPr>
        <w:t>food contaminants</w:t>
      </w:r>
      <w:r w:rsidRPr="00327CA0">
        <w:rPr>
          <w:lang w:val="en-US"/>
        </w:rPr>
        <w:t xml:space="preserve"> (accredited heavy metals method in food supplements).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The </w:t>
      </w:r>
      <w:r w:rsidRPr="00327CA0">
        <w:rPr>
          <w:b/>
          <w:highlight w:val="yellow"/>
          <w:lang w:val="en-US"/>
        </w:rPr>
        <w:t xml:space="preserve">expertise areas of the </w:t>
      </w:r>
      <w:proofErr w:type="spellStart"/>
      <w:r w:rsidRPr="00327CA0">
        <w:rPr>
          <w:b/>
          <w:highlight w:val="yellow"/>
          <w:lang w:val="en-US"/>
        </w:rPr>
        <w:t>Agri</w:t>
      </w:r>
      <w:proofErr w:type="spellEnd"/>
      <w:r w:rsidRPr="00327CA0">
        <w:rPr>
          <w:b/>
          <w:highlight w:val="yellow"/>
          <w:lang w:val="en-US"/>
        </w:rPr>
        <w:t>-Extraction department</w:t>
      </w:r>
      <w:r w:rsidRPr="007A5752">
        <w:rPr>
          <w:lang w:val="en-US"/>
        </w:rPr>
        <w:t xml:space="preserve"> are: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lang w:val="en-US"/>
        </w:rPr>
        <w:t xml:space="preserve">The </w:t>
      </w:r>
      <w:r w:rsidRPr="00327CA0">
        <w:rPr>
          <w:u w:val="single"/>
          <w:lang w:val="en-US"/>
        </w:rPr>
        <w:t>extraction of high-added value compounds</w:t>
      </w:r>
      <w:r w:rsidRPr="00327CA0">
        <w:rPr>
          <w:lang w:val="en-US"/>
        </w:rPr>
        <w:t xml:space="preserve"> such as plant secondary metabolites (polyphenols, flavonoids, terpenes, alkaloids, ...) by "soft" and "green" extraction processes : supercritical CO2, subcritical water, hot pressurized solvents, ultrasonic or microwave assistance;…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lang w:val="en-US"/>
        </w:rPr>
        <w:t xml:space="preserve">The </w:t>
      </w:r>
      <w:r w:rsidRPr="00327CA0">
        <w:rPr>
          <w:u w:val="single"/>
          <w:lang w:val="en-US"/>
        </w:rPr>
        <w:t>development of these extraction processes at laboratory and pilot scale</w:t>
      </w:r>
      <w:r w:rsidRPr="00327CA0">
        <w:rPr>
          <w:lang w:val="en-US"/>
        </w:rPr>
        <w:t xml:space="preserve"> covering all stages of the process: preparation of plant material, solid/liquid or liquid/liquid extraction, concentration/drying, complete chemical characterization of the extracts, screening of biological activities of extracts, stability study of formulated extracts in dietary supplements;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u w:val="single"/>
          <w:lang w:val="en-US"/>
        </w:rPr>
        <w:t>Concentration</w:t>
      </w:r>
      <w:r w:rsidRPr="00327CA0">
        <w:rPr>
          <w:lang w:val="en-US"/>
        </w:rPr>
        <w:t xml:space="preserve"> of the extracts (membrane filtration, ion exchange column);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u w:val="single"/>
          <w:lang w:val="en-US"/>
        </w:rPr>
        <w:t>Purification</w:t>
      </w:r>
      <w:r w:rsidRPr="00327CA0">
        <w:rPr>
          <w:lang w:val="en-US"/>
        </w:rPr>
        <w:t xml:space="preserve"> of active compounds by centrifugal partition chromatography or extraction of undesirable compounds (contaminants, ethanol, volatile compounds ...);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lang w:val="en-US"/>
        </w:rPr>
        <w:t xml:space="preserve">Extracts </w:t>
      </w:r>
      <w:r w:rsidRPr="00327CA0">
        <w:rPr>
          <w:u w:val="single"/>
          <w:lang w:val="en-US"/>
        </w:rPr>
        <w:t>Stabilization</w:t>
      </w:r>
      <w:r w:rsidRPr="00327CA0">
        <w:rPr>
          <w:lang w:val="en-US"/>
        </w:rPr>
        <w:t xml:space="preserve"> (spray or freeze drying, vacuum evaporation, cold </w:t>
      </w:r>
      <w:proofErr w:type="spellStart"/>
      <w:r w:rsidRPr="00327CA0">
        <w:rPr>
          <w:lang w:val="en-US"/>
        </w:rPr>
        <w:t>debacterization</w:t>
      </w:r>
      <w:proofErr w:type="spellEnd"/>
      <w:r w:rsidRPr="00327CA0">
        <w:rPr>
          <w:lang w:val="en-US"/>
        </w:rPr>
        <w:t>, encapsulation);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lang w:val="en-US"/>
        </w:rPr>
        <w:t xml:space="preserve">Liquid </w:t>
      </w:r>
      <w:r w:rsidRPr="00327CA0">
        <w:rPr>
          <w:u w:val="single"/>
          <w:lang w:val="en-US"/>
        </w:rPr>
        <w:t>food flavoring</w:t>
      </w:r>
      <w:r w:rsidRPr="00327CA0">
        <w:rPr>
          <w:lang w:val="en-US"/>
        </w:rPr>
        <w:t>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u w:val="single"/>
          <w:lang w:val="en-US"/>
        </w:rPr>
        <w:t>Fractionation</w:t>
      </w:r>
      <w:r w:rsidRPr="00327CA0">
        <w:rPr>
          <w:lang w:val="en-US"/>
        </w:rPr>
        <w:t xml:space="preserve"> of food products such as lipids;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>
        <w:rPr>
          <w:lang w:val="en-US"/>
        </w:rPr>
        <w:t>D</w:t>
      </w:r>
      <w:r w:rsidRPr="00327CA0">
        <w:rPr>
          <w:lang w:val="en-US"/>
        </w:rPr>
        <w:t xml:space="preserve">evelopment and </w:t>
      </w:r>
      <w:r w:rsidRPr="00327CA0">
        <w:rPr>
          <w:u w:val="single"/>
          <w:lang w:val="en-US"/>
        </w:rPr>
        <w:t>deodorization</w:t>
      </w:r>
      <w:r w:rsidRPr="00327CA0">
        <w:rPr>
          <w:lang w:val="en-US"/>
        </w:rPr>
        <w:t xml:space="preserve"> of liquid matrices (vegetable oils ...);</w:t>
      </w:r>
    </w:p>
    <w:p w:rsidR="00327CA0" w:rsidRPr="00327CA0" w:rsidRDefault="00327CA0" w:rsidP="00327CA0">
      <w:pPr>
        <w:pStyle w:val="Paragraphedeliste"/>
        <w:numPr>
          <w:ilvl w:val="0"/>
          <w:numId w:val="12"/>
        </w:numPr>
        <w:ind w:left="709"/>
        <w:jc w:val="both"/>
        <w:rPr>
          <w:lang w:val="en-US"/>
        </w:rPr>
      </w:pPr>
      <w:r w:rsidRPr="00327CA0">
        <w:rPr>
          <w:lang w:val="en-US"/>
        </w:rPr>
        <w:t xml:space="preserve">Food and agricultural </w:t>
      </w:r>
      <w:r w:rsidRPr="009944CE">
        <w:rPr>
          <w:u w:val="single"/>
          <w:lang w:val="en-US"/>
        </w:rPr>
        <w:t>co-products valorization</w:t>
      </w:r>
      <w:r w:rsidRPr="00327CA0">
        <w:rPr>
          <w:lang w:val="en-US"/>
        </w:rPr>
        <w:t xml:space="preserve"> by extraction processes.</w:t>
      </w:r>
    </w:p>
    <w:p w:rsidR="00327CA0" w:rsidRPr="007A5752" w:rsidRDefault="00327CA0" w:rsidP="00327CA0">
      <w:pPr>
        <w:ind w:left="709"/>
        <w:jc w:val="both"/>
        <w:rPr>
          <w:lang w:val="en-US"/>
        </w:rPr>
      </w:pP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The two departments are supported by a </w:t>
      </w:r>
      <w:r w:rsidRPr="009944CE">
        <w:rPr>
          <w:b/>
          <w:lang w:val="en-US"/>
        </w:rPr>
        <w:t>fine analytical chemistry laboratory</w:t>
      </w:r>
      <w:r w:rsidRPr="007A5752">
        <w:rPr>
          <w:lang w:val="en-US"/>
        </w:rPr>
        <w:t xml:space="preserve"> with </w:t>
      </w:r>
      <w:r>
        <w:rPr>
          <w:lang w:val="en-US"/>
        </w:rPr>
        <w:t>various</w:t>
      </w:r>
      <w:r w:rsidRPr="007A5752">
        <w:rPr>
          <w:lang w:val="en-US"/>
        </w:rPr>
        <w:t xml:space="preserve"> liquid and gas chromatography equipment, </w:t>
      </w:r>
      <w:r>
        <w:rPr>
          <w:lang w:val="en-US"/>
        </w:rPr>
        <w:t>among others</w:t>
      </w:r>
      <w:r w:rsidRPr="007A5752">
        <w:rPr>
          <w:lang w:val="en-US"/>
        </w:rPr>
        <w:t xml:space="preserve"> (</w:t>
      </w:r>
      <w:r>
        <w:rPr>
          <w:lang w:val="en-US"/>
        </w:rPr>
        <w:t>ICP,</w:t>
      </w:r>
      <w:r w:rsidRPr="007A5752">
        <w:rPr>
          <w:lang w:val="en-US"/>
        </w:rPr>
        <w:t xml:space="preserve"> ...).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 xml:space="preserve">If CELABOR activity is </w:t>
      </w:r>
      <w:r>
        <w:rPr>
          <w:lang w:val="en-US"/>
        </w:rPr>
        <w:t>mainly</w:t>
      </w:r>
      <w:r w:rsidRPr="007A5752">
        <w:rPr>
          <w:lang w:val="en-US"/>
        </w:rPr>
        <w:t xml:space="preserve"> </w:t>
      </w:r>
      <w:r>
        <w:rPr>
          <w:lang w:val="en-US"/>
        </w:rPr>
        <w:t>focused on services to</w:t>
      </w:r>
      <w:r w:rsidRPr="007A5752">
        <w:rPr>
          <w:lang w:val="en-US"/>
        </w:rPr>
        <w:t xml:space="preserve"> industrial companies (private projects), CELABOR also conducts numerous collaborative research projects with European </w:t>
      </w:r>
      <w:r>
        <w:rPr>
          <w:lang w:val="en-US"/>
        </w:rPr>
        <w:t>research</w:t>
      </w:r>
      <w:r w:rsidRPr="007A5752">
        <w:rPr>
          <w:lang w:val="en-US"/>
        </w:rPr>
        <w:t xml:space="preserve"> centers</w:t>
      </w:r>
      <w:r>
        <w:rPr>
          <w:lang w:val="en-US"/>
        </w:rPr>
        <w:t xml:space="preserve"> or companies</w:t>
      </w:r>
      <w:r w:rsidRPr="007A5752">
        <w:rPr>
          <w:lang w:val="en-US"/>
        </w:rPr>
        <w:t xml:space="preserve"> (INTERREG projects</w:t>
      </w:r>
      <w:r>
        <w:rPr>
          <w:lang w:val="en-US"/>
        </w:rPr>
        <w:t>,</w:t>
      </w:r>
      <w:r w:rsidRPr="007A5752">
        <w:rPr>
          <w:lang w:val="en-US"/>
        </w:rPr>
        <w:t xml:space="preserve"> CORNET projects</w:t>
      </w:r>
      <w:r>
        <w:rPr>
          <w:lang w:val="en-US"/>
        </w:rPr>
        <w:t>,</w:t>
      </w:r>
      <w:r w:rsidRPr="007A5752">
        <w:rPr>
          <w:lang w:val="en-US"/>
        </w:rPr>
        <w:t xml:space="preserve"> IRA-SME projects, ...).</w:t>
      </w:r>
    </w:p>
    <w:p w:rsidR="00327CA0" w:rsidRPr="007A5752" w:rsidRDefault="00327CA0" w:rsidP="00327CA0">
      <w:pPr>
        <w:jc w:val="both"/>
        <w:rPr>
          <w:lang w:val="en-US"/>
        </w:rPr>
      </w:pPr>
      <w:r w:rsidRPr="007A5752">
        <w:rPr>
          <w:lang w:val="en-US"/>
        </w:rPr>
        <w:t>The ma</w:t>
      </w:r>
      <w:r>
        <w:rPr>
          <w:lang w:val="en-US"/>
        </w:rPr>
        <w:t>in location of the C</w:t>
      </w:r>
      <w:r w:rsidRPr="007A5752">
        <w:rPr>
          <w:lang w:val="en-US"/>
        </w:rPr>
        <w:t xml:space="preserve">enter is </w:t>
      </w:r>
      <w:proofErr w:type="spellStart"/>
      <w:r w:rsidRPr="007A5752">
        <w:rPr>
          <w:lang w:val="en-US"/>
        </w:rPr>
        <w:t>Herve</w:t>
      </w:r>
      <w:proofErr w:type="spellEnd"/>
      <w:r w:rsidRPr="007A5752">
        <w:rPr>
          <w:lang w:val="en-US"/>
        </w:rPr>
        <w:t xml:space="preserve">, in </w:t>
      </w:r>
      <w:r>
        <w:rPr>
          <w:lang w:val="en-US"/>
        </w:rPr>
        <w:t>E</w:t>
      </w:r>
      <w:r w:rsidRPr="007A5752">
        <w:rPr>
          <w:lang w:val="en-US"/>
        </w:rPr>
        <w:t>astern Belgium, but CELABOR also has a branch in Mouscron</w:t>
      </w:r>
      <w:r w:rsidR="00FE3928">
        <w:rPr>
          <w:lang w:val="en-US"/>
        </w:rPr>
        <w:t xml:space="preserve"> (Western Belgium)</w:t>
      </w:r>
      <w:r w:rsidR="00E31B3D">
        <w:rPr>
          <w:lang w:val="en-US"/>
        </w:rPr>
        <w:t>.</w:t>
      </w:r>
    </w:p>
    <w:p w:rsidR="009944CE" w:rsidRPr="00E31B3D" w:rsidRDefault="009944CE">
      <w:pPr>
        <w:rPr>
          <w:lang w:val="en-US"/>
        </w:rPr>
      </w:pPr>
      <w:r w:rsidRPr="00E31B3D">
        <w:rPr>
          <w:lang w:val="en-US"/>
        </w:rPr>
        <w:br w:type="page"/>
      </w:r>
    </w:p>
    <w:p w:rsidR="009944CE" w:rsidRPr="00E31B3D" w:rsidRDefault="009944CE" w:rsidP="00441DB5">
      <w:pPr>
        <w:jc w:val="both"/>
        <w:rPr>
          <w:lang w:val="en-US"/>
        </w:rPr>
      </w:pPr>
    </w:p>
    <w:p w:rsidR="00CC06BA" w:rsidRDefault="00D56886" w:rsidP="00441DB5">
      <w:pPr>
        <w:jc w:val="both"/>
      </w:pPr>
      <w:r>
        <w:t xml:space="preserve">CELABOR est un laboratoire et centre de recherche </w:t>
      </w:r>
      <w:r w:rsidR="000907C2">
        <w:t xml:space="preserve">privé </w:t>
      </w:r>
      <w:r>
        <w:t>de la région wallonne de Belgique,</w:t>
      </w:r>
      <w:r w:rsidR="00CC06BA">
        <w:t xml:space="preserve"> employant une cinquantaine de personnes aux </w:t>
      </w:r>
      <w:r>
        <w:t>compétences scientifiques et techniques</w:t>
      </w:r>
      <w:r w:rsidR="00CC06BA" w:rsidRPr="00CC06BA">
        <w:t xml:space="preserve"> </w:t>
      </w:r>
      <w:r w:rsidR="00CC06BA">
        <w:t xml:space="preserve">diverses. </w:t>
      </w:r>
    </w:p>
    <w:p w:rsidR="00373127" w:rsidRDefault="009944CE" w:rsidP="00441DB5">
      <w:pPr>
        <w:jc w:val="both"/>
      </w:pPr>
      <w:r>
        <w:t>C</w:t>
      </w:r>
      <w:r w:rsidR="00CC06BA">
        <w:t xml:space="preserve">ELABOR rassemble </w:t>
      </w:r>
      <w:r w:rsidR="006B20EC">
        <w:t xml:space="preserve">en son sein </w:t>
      </w:r>
      <w:r w:rsidR="00CC06BA">
        <w:t xml:space="preserve">diverses </w:t>
      </w:r>
      <w:r w:rsidR="00D56886">
        <w:t>ressources en chimie et en procédés qui s’adressent aux secteurs industriels de l’agro-alimentaire, de l’emballage, de l’environnement et du textile.</w:t>
      </w:r>
    </w:p>
    <w:p w:rsidR="00E80218" w:rsidRDefault="00447244" w:rsidP="00441DB5">
      <w:pPr>
        <w:jc w:val="both"/>
      </w:pPr>
      <w:r>
        <w:t xml:space="preserve">En rapport avec les activités du </w:t>
      </w:r>
      <w:r w:rsidR="00872C87" w:rsidRPr="00872C87">
        <w:t xml:space="preserve">Food </w:t>
      </w:r>
      <w:proofErr w:type="spellStart"/>
      <w:r w:rsidR="00872C87" w:rsidRPr="00872C87">
        <w:t>Hightech</w:t>
      </w:r>
      <w:proofErr w:type="spellEnd"/>
      <w:r w:rsidR="00872C87" w:rsidRPr="00872C87">
        <w:t xml:space="preserve"> Portal</w:t>
      </w:r>
      <w:r>
        <w:t xml:space="preserve">, CELABOR </w:t>
      </w:r>
      <w:r w:rsidR="00E80218">
        <w:t>possè</w:t>
      </w:r>
      <w:r w:rsidR="004D3EF2">
        <w:t>de</w:t>
      </w:r>
      <w:r>
        <w:t xml:space="preserve"> deux départements d’intérêt :</w:t>
      </w:r>
      <w:r w:rsidR="00172340">
        <w:t xml:space="preserve"> l</w:t>
      </w:r>
      <w:r>
        <w:t>e</w:t>
      </w:r>
      <w:r w:rsidR="00172340">
        <w:t>s</w:t>
      </w:r>
      <w:r>
        <w:t xml:space="preserve"> département</w:t>
      </w:r>
      <w:r w:rsidR="00172340">
        <w:t>s</w:t>
      </w:r>
      <w:r>
        <w:t xml:space="preserve"> Agro-Nutrition et Agro-Extraction</w:t>
      </w:r>
      <w:r w:rsidR="004D3EF2">
        <w:t xml:space="preserve">. </w:t>
      </w:r>
      <w:r w:rsidR="00E80218">
        <w:t xml:space="preserve"> </w:t>
      </w:r>
    </w:p>
    <w:p w:rsidR="00447244" w:rsidRDefault="00447244" w:rsidP="00441DB5">
      <w:pPr>
        <w:jc w:val="both"/>
      </w:pPr>
      <w:r>
        <w:t xml:space="preserve">Les </w:t>
      </w:r>
      <w:r w:rsidR="00441DB5">
        <w:t>domaines d’expertise du</w:t>
      </w:r>
      <w:r>
        <w:t xml:space="preserve"> département Agro-Nutrition</w:t>
      </w:r>
      <w:r w:rsidR="004917A6">
        <w:t xml:space="preserve"> </w:t>
      </w:r>
      <w:r w:rsidR="00441DB5">
        <w:t>sont</w:t>
      </w:r>
      <w:r w:rsidR="004917A6">
        <w:t> :</w:t>
      </w:r>
    </w:p>
    <w:p w:rsidR="00441DB5" w:rsidRPr="001B47A3" w:rsidRDefault="00441DB5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 w:rsidRPr="001B47A3">
        <w:t>La formulation de produits « santé » ou à profil nutritionnel amélioré (allégations) ;</w:t>
      </w:r>
    </w:p>
    <w:p w:rsidR="00441DB5" w:rsidRPr="001B47A3" w:rsidRDefault="00441DB5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 w:rsidRPr="001B47A3">
        <w:t>L’étude des dégradations physico-chimiques des produits existants (phénomènes d’oxydation, étude des off-</w:t>
      </w:r>
      <w:proofErr w:type="spellStart"/>
      <w:r w:rsidRPr="001B47A3">
        <w:t>flavors</w:t>
      </w:r>
      <w:proofErr w:type="spellEnd"/>
      <w:r w:rsidRPr="001B47A3">
        <w:t>, mesure</w:t>
      </w:r>
      <w:r w:rsidR="001B38C2">
        <w:t>s</w:t>
      </w:r>
      <w:r w:rsidRPr="001B47A3">
        <w:t xml:space="preserve"> de couleur, </w:t>
      </w:r>
      <w:r w:rsidR="001B38C2">
        <w:t xml:space="preserve">de </w:t>
      </w:r>
      <w:r w:rsidRPr="001B47A3">
        <w:t>texture, tests de vieillissements accélérés)</w:t>
      </w:r>
      <w:r w:rsidR="001B38C2">
        <w:t> ;</w:t>
      </w:r>
    </w:p>
    <w:p w:rsidR="00441DB5" w:rsidRPr="001B47A3" w:rsidRDefault="00441DB5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>
        <w:t xml:space="preserve">L’allongement de la durée de conservation </w:t>
      </w:r>
      <w:r w:rsidRPr="001B47A3">
        <w:t>des produits (tendance « clean label » et solutions emballage) ;</w:t>
      </w:r>
    </w:p>
    <w:p w:rsidR="00441DB5" w:rsidRPr="001B47A3" w:rsidRDefault="00441DB5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 w:rsidRPr="001B47A3">
        <w:t>L’étude des propriétés de nouvelles matières premières : fonctionnelles, qualitatives, nutritionnelles ;</w:t>
      </w:r>
    </w:p>
    <w:p w:rsidR="00441DB5" w:rsidRPr="001B47A3" w:rsidRDefault="001B47A3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 w:rsidRPr="001B47A3">
        <w:t>Les a</w:t>
      </w:r>
      <w:r w:rsidR="00441DB5" w:rsidRPr="001B47A3">
        <w:t xml:space="preserve">nalyses nutritionnelles et </w:t>
      </w:r>
      <w:r w:rsidRPr="001B47A3">
        <w:t>d’</w:t>
      </w:r>
      <w:r w:rsidR="00441DB5" w:rsidRPr="001B47A3">
        <w:t xml:space="preserve">additifs, </w:t>
      </w:r>
      <w:r w:rsidR="000907C2">
        <w:t xml:space="preserve">les </w:t>
      </w:r>
      <w:r w:rsidR="00441DB5" w:rsidRPr="001B47A3">
        <w:t>conseils à l’étiquetage ;</w:t>
      </w:r>
    </w:p>
    <w:p w:rsidR="00441DB5" w:rsidRPr="001B47A3" w:rsidRDefault="001B47A3" w:rsidP="00441DB5">
      <w:pPr>
        <w:pStyle w:val="Paragraphedeliste"/>
        <w:numPr>
          <w:ilvl w:val="0"/>
          <w:numId w:val="1"/>
        </w:numPr>
        <w:spacing w:after="200" w:line="276" w:lineRule="auto"/>
        <w:jc w:val="both"/>
      </w:pPr>
      <w:r w:rsidRPr="001B47A3">
        <w:t xml:space="preserve">Les </w:t>
      </w:r>
      <w:r w:rsidR="001B38C2">
        <w:t>a</w:t>
      </w:r>
      <w:r w:rsidR="00441DB5" w:rsidRPr="001B47A3">
        <w:t>nalyses de contaminants alimentaires (accréditation métaux lourds dans les compléments alimentaires).</w:t>
      </w:r>
    </w:p>
    <w:p w:rsidR="001B47A3" w:rsidRDefault="001B47A3" w:rsidP="001B47A3">
      <w:pPr>
        <w:jc w:val="both"/>
      </w:pPr>
      <w:r>
        <w:t>Les domaines d’expertise du département Agro-Extraction sont :</w:t>
      </w:r>
    </w:p>
    <w:p w:rsidR="00ED42F8" w:rsidRDefault="001B47A3" w:rsidP="00441DB5">
      <w:pPr>
        <w:pStyle w:val="Paragraphedeliste"/>
        <w:numPr>
          <w:ilvl w:val="0"/>
          <w:numId w:val="2"/>
        </w:numPr>
        <w:jc w:val="both"/>
      </w:pPr>
      <w:r w:rsidRPr="001B47A3">
        <w:t>L’e</w:t>
      </w:r>
      <w:r w:rsidR="00ED42F8" w:rsidRPr="001B47A3">
        <w:t>xtraction de composés à haute valeur ajoutée : métabolites secondaires de plantes (polyphénols, flavonoïdes, terpènes, alcaloïdes…) par des p</w:t>
      </w:r>
      <w:r w:rsidR="00ED42F8">
        <w:t xml:space="preserve">rocédés d’extraction « doux » et « verts » : CO2 supercritique, eau </w:t>
      </w:r>
      <w:proofErr w:type="spellStart"/>
      <w:r w:rsidR="00ED42F8">
        <w:t>subcritique</w:t>
      </w:r>
      <w:proofErr w:type="spellEnd"/>
      <w:r w:rsidR="00ED42F8">
        <w:t>, solvants chauds pressurisés, ultrasons, micro-ondes ;</w:t>
      </w:r>
    </w:p>
    <w:p w:rsidR="0040663C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Le d</w:t>
      </w:r>
      <w:r w:rsidR="00ED42F8" w:rsidRPr="001B47A3">
        <w:t xml:space="preserve">éveloppement de </w:t>
      </w:r>
      <w:r w:rsidR="000907C2">
        <w:t xml:space="preserve">ces </w:t>
      </w:r>
      <w:r w:rsidR="00ED42F8" w:rsidRPr="001B47A3">
        <w:t>procédés d’extraction à l’échelle laboratoire et pilote couvran</w:t>
      </w:r>
      <w:r>
        <w:t xml:space="preserve">t toutes les étapes du </w:t>
      </w:r>
      <w:proofErr w:type="spellStart"/>
      <w:r>
        <w:t>process</w:t>
      </w:r>
      <w:proofErr w:type="spellEnd"/>
      <w:r>
        <w:t xml:space="preserve"> : </w:t>
      </w:r>
      <w:r w:rsidR="00ED42F8" w:rsidRPr="001B47A3">
        <w:t>préparation de la matière végétale, extraction solide/liquide et liquide/liquide, concentration/séchage, caractérisation chimique complète des extraits, screening d’activité biologique des extraits, étude de la stabilité des extraits formulés dans des compléments alimentaires</w:t>
      </w:r>
      <w:r>
        <w:t> ;</w:t>
      </w:r>
    </w:p>
    <w:p w:rsidR="0040663C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>La c</w:t>
      </w:r>
      <w:r w:rsidR="0040663C">
        <w:t>oncentration d’extraits (filtrations membranaires, colonne échangeuse d’ions)</w:t>
      </w:r>
      <w:r>
        <w:t> ;</w:t>
      </w:r>
    </w:p>
    <w:p w:rsidR="0040663C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La p</w:t>
      </w:r>
      <w:r w:rsidR="0040663C" w:rsidRPr="001B47A3">
        <w:t xml:space="preserve">urification d’actifs par </w:t>
      </w:r>
      <w:r w:rsidR="0040663C">
        <w:t xml:space="preserve">chromatographie de partage centrifuge ou par </w:t>
      </w:r>
      <w:r w:rsidR="0040663C" w:rsidRPr="001B47A3">
        <w:t>extraction de composés indésirables (contaminants, éthanol, composés volatils…)</w:t>
      </w:r>
      <w:r>
        <w:t> ;</w:t>
      </w:r>
    </w:p>
    <w:p w:rsidR="0040663C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La s</w:t>
      </w:r>
      <w:r w:rsidR="0040663C" w:rsidRPr="001B47A3">
        <w:t>tabilisation d’extraits (</w:t>
      </w:r>
      <w:r w:rsidR="0040663C">
        <w:t xml:space="preserve">atomisation, lyophilisation, évaporation sous vide, </w:t>
      </w:r>
      <w:proofErr w:type="spellStart"/>
      <w:r w:rsidR="0040663C">
        <w:t>débactérisation</w:t>
      </w:r>
      <w:proofErr w:type="spellEnd"/>
      <w:r w:rsidR="0040663C">
        <w:t xml:space="preserve"> à froid, encapsulation)</w:t>
      </w:r>
      <w:r>
        <w:t> ;</w:t>
      </w:r>
    </w:p>
    <w:p w:rsidR="00ED42F8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L’a</w:t>
      </w:r>
      <w:r w:rsidR="00ED42F8" w:rsidRPr="001B47A3">
        <w:t>romat</w:t>
      </w:r>
      <w:r w:rsidR="0040663C" w:rsidRPr="001B47A3">
        <w:t>isation de liquides alimentaires</w:t>
      </w:r>
      <w:r w:rsidR="00ED42F8" w:rsidRPr="001B47A3">
        <w:t> ;</w:t>
      </w:r>
    </w:p>
    <w:p w:rsidR="00ED42F8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Le f</w:t>
      </w:r>
      <w:r w:rsidR="00ED42F8" w:rsidRPr="001B47A3">
        <w:t>ractionnement de produits alimentaires tels que les lipides ;</w:t>
      </w:r>
    </w:p>
    <w:p w:rsidR="00ED42F8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Le f</w:t>
      </w:r>
      <w:r w:rsidR="00441DB5" w:rsidRPr="001B47A3">
        <w:t xml:space="preserve">açonnage et </w:t>
      </w:r>
      <w:r>
        <w:t xml:space="preserve">la </w:t>
      </w:r>
      <w:r w:rsidR="00441DB5" w:rsidRPr="001B47A3">
        <w:t>d</w:t>
      </w:r>
      <w:r w:rsidR="00ED42F8" w:rsidRPr="001B47A3">
        <w:t>ésodorisation de matrices liquides (huile</w:t>
      </w:r>
      <w:r w:rsidR="00441DB5" w:rsidRPr="001B47A3">
        <w:t>s</w:t>
      </w:r>
      <w:r w:rsidR="00ED42F8" w:rsidRPr="001B47A3">
        <w:t xml:space="preserve"> végétale</w:t>
      </w:r>
      <w:r w:rsidR="00441DB5" w:rsidRPr="001B47A3">
        <w:t>s</w:t>
      </w:r>
      <w:r w:rsidR="00ED42F8" w:rsidRPr="001B47A3">
        <w:t>…)</w:t>
      </w:r>
      <w:r w:rsidR="0040663C" w:rsidRPr="001B47A3">
        <w:t> ;</w:t>
      </w:r>
    </w:p>
    <w:p w:rsidR="00ED42F8" w:rsidRPr="001B47A3" w:rsidRDefault="001B47A3" w:rsidP="00441DB5">
      <w:pPr>
        <w:pStyle w:val="Paragraphedeliste"/>
        <w:numPr>
          <w:ilvl w:val="0"/>
          <w:numId w:val="2"/>
        </w:numPr>
        <w:spacing w:after="0" w:line="240" w:lineRule="auto"/>
        <w:jc w:val="both"/>
      </w:pPr>
      <w:r w:rsidRPr="001B47A3">
        <w:t>La v</w:t>
      </w:r>
      <w:r w:rsidR="00ED42F8" w:rsidRPr="001B47A3">
        <w:t xml:space="preserve">alorisation des </w:t>
      </w:r>
      <w:proofErr w:type="spellStart"/>
      <w:r w:rsidR="00ED42F8" w:rsidRPr="001B47A3">
        <w:t>co-produits</w:t>
      </w:r>
      <w:proofErr w:type="spellEnd"/>
      <w:r w:rsidR="00ED42F8" w:rsidRPr="001B47A3">
        <w:t xml:space="preserve"> agroalimentaires et agricoles par des procédés d’extraction</w:t>
      </w:r>
      <w:r w:rsidR="0040663C" w:rsidRPr="001B47A3">
        <w:t>.</w:t>
      </w:r>
    </w:p>
    <w:p w:rsidR="00ED42F8" w:rsidRDefault="00ED42F8" w:rsidP="00441DB5">
      <w:pPr>
        <w:jc w:val="both"/>
      </w:pPr>
    </w:p>
    <w:p w:rsidR="00E80218" w:rsidRDefault="00E80218" w:rsidP="00441DB5">
      <w:pPr>
        <w:jc w:val="both"/>
      </w:pPr>
      <w:r>
        <w:t>Les deux départements sont supportés par un  laboratoire de chimie analytique fine doté de nombreux équipements de chromatographie </w:t>
      </w:r>
      <w:r w:rsidR="0040663C">
        <w:t xml:space="preserve">liquide et gazeuse, </w:t>
      </w:r>
      <w:r>
        <w:t>et autres (ICP</w:t>
      </w:r>
      <w:r w:rsidR="0040663C">
        <w:t>…</w:t>
      </w:r>
      <w:r>
        <w:t>).</w:t>
      </w:r>
    </w:p>
    <w:p w:rsidR="00CC06BA" w:rsidRDefault="00CC06BA" w:rsidP="00441DB5">
      <w:pPr>
        <w:jc w:val="both"/>
      </w:pPr>
      <w:r>
        <w:t>Si l’activité de CELABOR est principalement orientée vers le service aux entreprises industrielles</w:t>
      </w:r>
      <w:r w:rsidR="00A32BFD">
        <w:t xml:space="preserve"> (projets privés)</w:t>
      </w:r>
      <w:r>
        <w:t>, CELABOR mène aussi de nombreux projets de recherche collaborative avec des centres ou entreprises européens (projets INTERREG, projets CORNET, projets IRA-SME,…).</w:t>
      </w:r>
    </w:p>
    <w:p w:rsidR="007A5752" w:rsidRDefault="00556346" w:rsidP="00441DB5">
      <w:pPr>
        <w:jc w:val="both"/>
      </w:pPr>
      <w:r>
        <w:t>L’implantation principale du centre se situe à Herve, dans l’Est de la Belgique, mais CELABOR possède aussi une antenne à Mouscron</w:t>
      </w:r>
      <w:r w:rsidR="00FE3928">
        <w:t>, à l</w:t>
      </w:r>
      <w:bookmarkStart w:id="0" w:name="_GoBack"/>
      <w:bookmarkEnd w:id="0"/>
      <w:r w:rsidR="00FE3928">
        <w:t>’Ouest du pays</w:t>
      </w:r>
      <w:r w:rsidR="00E31B3D">
        <w:t>.</w:t>
      </w:r>
    </w:p>
    <w:sectPr w:rsidR="007A5752" w:rsidSect="001B47A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D6A2D"/>
    <w:multiLevelType w:val="hybridMultilevel"/>
    <w:tmpl w:val="0958F8F8"/>
    <w:lvl w:ilvl="0" w:tplc="A72CEB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8C78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" w:eastAsia="Helv" w:hAnsi="Helv" w:cs="Helv" w:hint="default"/>
      </w:rPr>
    </w:lvl>
    <w:lvl w:ilvl="2" w:tplc="7A8007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E2C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3884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8D2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3A00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414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C19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F029D"/>
    <w:multiLevelType w:val="hybridMultilevel"/>
    <w:tmpl w:val="F85443C0"/>
    <w:lvl w:ilvl="0" w:tplc="A72CEB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0EB6E">
      <w:start w:val="3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8007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2E2C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3884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38D2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3A00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414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C19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42C3"/>
    <w:multiLevelType w:val="hybridMultilevel"/>
    <w:tmpl w:val="E12CF04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77AA4"/>
    <w:multiLevelType w:val="hybridMultilevel"/>
    <w:tmpl w:val="89AAD65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9635F"/>
    <w:multiLevelType w:val="hybridMultilevel"/>
    <w:tmpl w:val="0E0AFE40"/>
    <w:lvl w:ilvl="0" w:tplc="3A8C78A4">
      <w:numFmt w:val="bullet"/>
      <w:lvlText w:val="-"/>
      <w:lvlJc w:val="left"/>
      <w:pPr>
        <w:ind w:left="720" w:hanging="360"/>
      </w:pPr>
      <w:rPr>
        <w:rFonts w:ascii="Helv" w:eastAsia="Helv" w:hAnsi="Helv" w:cs="Helv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7177F"/>
    <w:multiLevelType w:val="hybridMultilevel"/>
    <w:tmpl w:val="3FE23E36"/>
    <w:lvl w:ilvl="0" w:tplc="3A8C78A4">
      <w:numFmt w:val="bullet"/>
      <w:lvlText w:val="-"/>
      <w:lvlJc w:val="left"/>
      <w:pPr>
        <w:ind w:left="720" w:hanging="360"/>
      </w:pPr>
      <w:rPr>
        <w:rFonts w:ascii="Helv" w:eastAsia="Helv" w:hAnsi="Helv" w:cs="Helv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65CE7"/>
    <w:multiLevelType w:val="hybridMultilevel"/>
    <w:tmpl w:val="66C8A656"/>
    <w:lvl w:ilvl="0" w:tplc="0A0E27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86FE0"/>
    <w:multiLevelType w:val="hybridMultilevel"/>
    <w:tmpl w:val="5310E24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417CB"/>
    <w:multiLevelType w:val="hybridMultilevel"/>
    <w:tmpl w:val="BF7EDCA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2328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57D97"/>
    <w:multiLevelType w:val="hybridMultilevel"/>
    <w:tmpl w:val="D7B83770"/>
    <w:lvl w:ilvl="0" w:tplc="3A8C78A4">
      <w:numFmt w:val="bullet"/>
      <w:lvlText w:val="-"/>
      <w:lvlJc w:val="left"/>
      <w:pPr>
        <w:ind w:left="720" w:hanging="360"/>
      </w:pPr>
      <w:rPr>
        <w:rFonts w:ascii="Helv" w:eastAsia="Helv" w:hAnsi="Helv" w:cs="Helv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B1F43"/>
    <w:multiLevelType w:val="hybridMultilevel"/>
    <w:tmpl w:val="E5FA417C"/>
    <w:lvl w:ilvl="0" w:tplc="08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A544A1D"/>
    <w:multiLevelType w:val="hybridMultilevel"/>
    <w:tmpl w:val="3B14EAC8"/>
    <w:lvl w:ilvl="0" w:tplc="353240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2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86"/>
    <w:rsid w:val="000665DC"/>
    <w:rsid w:val="000907C2"/>
    <w:rsid w:val="000C3287"/>
    <w:rsid w:val="000D525A"/>
    <w:rsid w:val="00172340"/>
    <w:rsid w:val="001B38C2"/>
    <w:rsid w:val="001B47A3"/>
    <w:rsid w:val="00327CA0"/>
    <w:rsid w:val="00336792"/>
    <w:rsid w:val="003C0C1B"/>
    <w:rsid w:val="0040663C"/>
    <w:rsid w:val="00441DB5"/>
    <w:rsid w:val="00447244"/>
    <w:rsid w:val="004917A6"/>
    <w:rsid w:val="004C2F5A"/>
    <w:rsid w:val="004D3EF2"/>
    <w:rsid w:val="00520DBA"/>
    <w:rsid w:val="00556346"/>
    <w:rsid w:val="00642D45"/>
    <w:rsid w:val="006B20EC"/>
    <w:rsid w:val="007742BA"/>
    <w:rsid w:val="007A5752"/>
    <w:rsid w:val="007F16DD"/>
    <w:rsid w:val="00872C87"/>
    <w:rsid w:val="008C4145"/>
    <w:rsid w:val="00911175"/>
    <w:rsid w:val="0093577D"/>
    <w:rsid w:val="009944CE"/>
    <w:rsid w:val="00A32BFD"/>
    <w:rsid w:val="00B309F5"/>
    <w:rsid w:val="00B965DD"/>
    <w:rsid w:val="00CC06BA"/>
    <w:rsid w:val="00CC392B"/>
    <w:rsid w:val="00CE63CF"/>
    <w:rsid w:val="00D1241E"/>
    <w:rsid w:val="00D56886"/>
    <w:rsid w:val="00D637C6"/>
    <w:rsid w:val="00E31B3D"/>
    <w:rsid w:val="00E80218"/>
    <w:rsid w:val="00EA01C9"/>
    <w:rsid w:val="00ED42F8"/>
    <w:rsid w:val="00FE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36EF"/>
  <w15:chartTrackingRefBased/>
  <w15:docId w15:val="{CB931BA8-317D-41E1-84F6-5F595ABE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91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44195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035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06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354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096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944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Cuvelier</dc:creator>
  <cp:keywords/>
  <dc:description/>
  <cp:lastModifiedBy>Carmen Solaz</cp:lastModifiedBy>
  <cp:revision>9</cp:revision>
  <dcterms:created xsi:type="dcterms:W3CDTF">2016-08-17T12:57:00Z</dcterms:created>
  <dcterms:modified xsi:type="dcterms:W3CDTF">2016-08-17T13:10:00Z</dcterms:modified>
</cp:coreProperties>
</file>